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DC" w:rsidRPr="00D462DC" w:rsidRDefault="00D462DC" w:rsidP="00D462DC">
      <w:pPr>
        <w:shd w:val="clear" w:color="auto" w:fill="FFFFFF"/>
        <w:spacing w:after="0" w:line="480" w:lineRule="atLeast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</w:pPr>
      <w:r w:rsidRPr="00D462DC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it-IT"/>
        </w:rPr>
        <w:t>Promozione del territorio e turismo secondo Prc e Gubbio Libera</w:t>
      </w:r>
    </w:p>
    <w:p w:rsidR="00D462DC" w:rsidRPr="00D462DC" w:rsidRDefault="00D462DC" w:rsidP="00D462DC">
      <w:pPr>
        <w:shd w:val="clear" w:color="auto" w:fill="F0F0F0"/>
        <w:spacing w:after="165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bookmarkStart w:id="0" w:name="_GoBack"/>
      <w:bookmarkEnd w:id="0"/>
    </w:p>
    <w:p w:rsidR="00D462DC" w:rsidRPr="00D462DC" w:rsidRDefault="00D462DC" w:rsidP="00D462D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</w:pPr>
      <w:hyperlink r:id="rId5" w:history="1">
        <w:r w:rsidRPr="00D462DC">
          <w:rPr>
            <w:rFonts w:ascii="Arial" w:eastAsia="Times New Roman" w:hAnsi="Arial" w:cs="Arial"/>
            <w:caps/>
            <w:color w:val="FFFFFF"/>
            <w:sz w:val="15"/>
            <w:szCs w:val="15"/>
            <w:lang w:eastAsia="it-IT"/>
          </w:rPr>
          <w:t>POLITICA</w:t>
        </w:r>
      </w:hyperlink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Il territorio di Gubbio, settimo d’Italia per estensione tra quelli relativi ai Comuni italiani, con i suoi 525,08 kmq, rappresenta un autentico crogiuolo di paesaggi , bellezze naturalistiche, testimonianze archeologiche, imperituri patrimoni artistici e architettonici . Un vero e proprio petrolio, zampillante sotto ai nostri occhi, ma non adeguatamente tenuto nell’opportuno conto e valorizzato conseguentemente . La filiera turismo – cultura – ambiente, tanto declamata e sancita all’interno di atti e documenti, rappresenta, più che un sentiero ormai battuto, un proposito solo in parte realizzato a livello regionale, provinciale e comunale . Ecco allora che la sfida diventa quella della sua piena e concreta attuazione, con tutti gli strumenti che si rendono possibili e, anzi, necessari .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Pacchetti turistici integrati e attività di promozione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. Va concertata una politica turistica integrata con tutti i Comuni del comprensorio . Una pretesa autosufficienza del Comune di Gubbio sarebbe oltremodo penalizzante per l’insieme del territorio . Vanno messe in rete quindi le eccellenze naturali e paesaggistiche, con percorsi e itinerari adeguati comprendenti i beni artistici e culturali, gli elementi di pregio paesaggistici e naturalistici ancora non adeguatamente valorizzati non solo nel territorio comunale, ma nella fascia appenninica e nella zona del pietralunghese . La Città con i suoi capolavori e i suoi angoli unici, irripetibili, la fascia appenninica con le grotte di Monte Cucco , le abbazie, le Chiese, i relitti romani anche poco conosciuti , debbono essere tutti messi a frutto in percorsi turistici di qualità e di richiamo . Vanno coinvolti gli esercizi alberghieri e ricettivi in generale ,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affinchè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 diversifichino l’offerta e pratichino prezzi agevolati per comitive e famiglie che intendono usufruire di tali pacchetti, con la supervisione e il concorso attivo delle Istituzioni . L’obiettivo deve essere quello di garantire, anche per questa via, una maggior permanenza del turista sul territorio, oltre la logica ormai non più accettabile del “ mordi e fuggi “. Il comprensorio turistico che include Gubbio presenta numeri largamente inferiori alle potenzialità ; il carattere decentrato della Città, la sua posizione lontana dalle grandi direttrici infrastrutturali , ha inciso non poco nell’insieme, determinando cifre che, dinanzi a quelle di Assisi e di altri Centri , il cui fascino Gubbio non deve certamente invidiare, impallidiscono. E’ venuto il momento di trasformare il carattere “ isolato “ della nostra Città in una risorsa, valorizzando appieno il suo fascino , il suo deposito vivo e pulsante di arte, cultura, tradizione, vivibilità, trasformando tutto questo in un’occasione di sviluppo sostenibile, con benefiche ricadute per tutti . La promozione del territorio in maniera integrata, coinvolgendo tutti i soggetti portatori di interessi, mobilitando le migliori energie della Città, diventa quindi la via maestra per giungere all’obiettivo . Una “ task force “ all’interno dell’apparato comunale si occuperà della promozione costante di eventi legati alla Città, alla sua storia, alla sua tradizione , recuperando temi anche poco conosciuti dal folto pubblico, ma capaci di saldare assieme l’esigenza promozionale – economica con l’esaltazione delle radici e dell’identità . Accanto a questo, si deve lavorare per attrarre ogni altro genere di eventi musicali, cinematografici, artistici, letterari, teatrali di grande richiamo, capaci di portare presenze sul territorio. Grande importanza deve essere attribuita a tutti i canali, comunali , regionali e nazionali, attraverso i quali proiettare e diffondere l’immagine della Città e del territorio nel mondo , sfruttando anche le rappresentanze diplomatiche italiane all’estero, gli uffici della Regione Umbria, la Camera di Commercio e intessendo maggiori legami con tutte le Città che vedono la presenza di eugubini e oriundi tali, fino ad una mappatura completa della presenza eugubina nel mondo, anche con la collaborazione del sito “ Eugubini nel mondo “ , delle persone che lo animano e l’hanno reso largamente conosciuto . E’ assolutamente urgente la formazione e riqualificazione di professionalità, anche all’interno della macchina comunale, capaci di cogliere ad ogni mutamento e arricchimento della legislazione sul turismo le nuove possibilità che si offrono alla Città e al suo territorio . Audioguide, percorsi tematici che leghino Museo civico, monumenti, palazzi , vicoli e vie debbono essere, parimenti, obiettivi da centrare nella pianificazione dell’offerta turistica.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lastRenderedPageBreak/>
        <w:t>Incentivo all’ammodernamento delle strutture ricettive e all’adeguamento dell’offerta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. L’offerta sul fronte turistico è spesso contraddistinta, nel nostro territorio, per quanto concerne il comparto alberghiero , da alti costi, ai quali non sempre corrisponde un’adeguata qualità delle strutture . Da qui l’incremento della domanda di agriturismi,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resort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 e strutture analoghe da parte dei turisti , a scapito delle strutture alberghiere . Vanno dunque stimolate e perseguite intese con istituti di credito e soggetti economici di grande rilevanza che diano agli imprenditori del settore del turismo tutte le possibilità e i canali giusti, praticabili, per innovare e ammodernare le loro strutture, adeguando l’offerta alla domanda turistica, riducendo ove possibile i prezzi a beneficio del turista che predilige il soggiorno di una certa durata rispetto a quello breve nella Città . Gli ampliamenti eventualmente richiesti e realmente necessari di strutture turistiche, così come gli adeguamenti che ne innalzino la qualità, vanno resi più agevoli, con meno intralci burocratici, nel rispetto pieno e intransigente del massimo contenimento del consumo del suolo e con attenzione privilegiata rivolta a chi intenda mettere in pratica, in merito, le tecniche e le opportunità della bioedilizia .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Incentivo al turismo sociale 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. L’esigenza di diversificare l’offerta turistica, ammodernando ed adeguando le strutture, si lega anche strettamente all’idea di promuovere, sul territorio, un turismo accessibile a tutti, anche alle persone con difficoltà motorie, ridotta deambulazione e / o handicap fisici di vario tipo . Questa non deve essere una petizione di principio, ma un obiettivo realmente perseguito attraverso un Piano ( triennale o quinquennale ) di abbattimento di tutte le barriere architettoniche presenti nelle strutture ricettive o di altro tipo, attingendo ad ogni possibile fonte di finanziamento esistente. Vanno elaborati tutti quei supporti audiovisivi e quelle infrastrutture che debbono servire a fare di Gubbio una Città al 100 % accessibile a tutti , sul modello di altre esperienze attuate , come quella di “Assisi accessibile “ ( vedi l’omonimo sito Internet ) , con adeguate segnalazioni e percorsi guidati di facile comprensione per tutti. Vanno intessuti legami con tutte le organizzazioni che si occupano di turismo sociale , alfine di fare della nostra Città una meta appetibile e agevolmente “ conquistabile “ per tutti coloro i quali ( e non sono pochi ) non possono ancora godere del sacrosanto diritto alle vacanze per colpa di carenze e difetti dell’offerta turistica e delle politiche ad essa afferenti . Un ruolo di primo piano dovrà essere giocato nei riguardi della Regione,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affinchè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 possa essere varata una organica Legge per il turismo sociale, da tempo promessa ; Gubbio deve essere Città capofila in una costituenda “ rete del turismo sociale “, con funzioni di proposta , sensibilizzazione attorno al problema e promozione concreta .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Guide turistiche 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. Un gap da colmare . E’ assurdo che la nostra Città e il nostro territorio non debbano conoscere la presenza di figure che in tutta Italia, in quasi ogni Comune, sono presenti e operanti : le guide turistiche . A tal proposito , vanno previste assunzioni di giovani con qualifiche e titoli in merito, possibilmente in pianta stabile .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Cooperative di giovani nel settore turistico 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. Al fine di arginare il fenomeno sempre più esteso della disoccupazione giovanile, parallelamente alla promozione a 360 gradi del territorio, in tutti i suoi aspetti, vanno pianificate anche opportune ed efficaci forme di sostegno all’iniziativa imprenditoriale dei giovani, incoraggiando la formazione di cooperative nel settore turistico e ricettivo , anche con progetti che vedano al centro, ove possibili, terreni comunali ( da utilizzare anche per progetti legati all’agricoltura , che garantiscano un uso sociale di beni altrimenti destinati a rimanere inerti , inutilizzati e soggetti a rapido e inesorabile degrado ) . Tali cooperative debbono godere di tutte le facilitazioni e agevolazioni che la legislazione prevede e consente, ma anche di un attivo supporto da parte del Comune , con iniziative che diano la stura ad una campagna dei “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centofiori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 “ dell’occupazione giovanile e della valorizzazione del territorio e con una decisa opera di snellimento delle pratiche burocratiche, dei tempi di attesa delle stesse e con una politica tariffaria e impositiva che sia, ove possibile, premiante ;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L’ingegno eugubino nei secoli, una risorsa 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. La promozione del territorio significa anche, concretamente, valorizzazione della cultura e del passato glorioso che ha reso la Città e il territorio quelli che si presentano sotto ai nostri occhi . E’ opportuno pensare, con la partecipazione delle scuole e del variegato mondo culturale e associativo cittadino , a progetti che vedano al centro le figure storiche che hanno reso 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lastRenderedPageBreak/>
        <w:t>famoso Gubbio nei secoli e che non sono mai state adeguatamente studiate . Nel campo dell’arte, della letteratura, della storiografia, Gubbio ha avuto, nei secoli, figure eminenti attorno alle quali è venuto il momento di promuovere iniziative , eventi , manifestazioni capaci di contribuire, da una posizione di alto profilo, alla valorizzazione del territorio e alla sua conoscenza, con positive ricadute anche sul fronte turistico .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Valorizzazione dei prodotti tipici 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. Esistono, in una pluralità di luoghi della nostra Regione e della nostra Provincia, “strade del vino , dell’olio” ecc.., cioè percorsi che si fondano sulla valorizzazione dei prodotti tipici . E’ ora che, a Gubbio, vengano adeguatamente valorizzati prodotti “ autoctoni “, legati al territorio in maniera specifica e indissolubile, come la “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crescia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” che, preparata con procedimenti assolutamente “ esclusivi “ , peculiari , merita una certificazione di qualità . A questo obiettivo si deve lavorare , anche e soprattutto coinvolgendo gli operatori presenti ( l’unione fa la forza, per il raggiungimento del fine che ci si propone ). Allo stesso modo, va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vallorizzato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 di più e meglio il tartufo, contrastando decisamente ogni progetto , periodicamente ricorrente, di trasformazione dello stesso in prodotto agricolo ( che escluderebbe in via di principio la libera raccolta ) . Va rilanciata e rinnovata la Mostra del tartufo, ormai ridotta a kermesse ripetitiva e “prevedibile “ , ma vanno pure costruiti eventi di alto profilo culturale e gastronomico legati alla storia del tartufo nei secoli e al suo impiego storicamente affermatosi , con la collaborazione di studiosi , esperti in gastronomia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ecc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… ;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Artigianato di qualità 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: tradizione e futuro . Va recuperata la sapienza degli antichi mestieri e dell’artigianato di qualità, dalla ceramica al legno al ferro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battutto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, per valorizzare i quali negli ultimi anni la Provincia di Perugia, in collaborazione con il Comune di Gubbio, ha varato e attuato progetti di grande rilevanza, anche come occasione di sviluppo di qualità, sostenibile, capace di creare occupazione stabile e duratura . Il Comune, assieme alle Istituzioni sovraordinate, deve mettere a disposizione il suo patrimonio inutilizzato , immobiliare e non, per progetti in quest’ambito , agevolando fiscalmente,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tariffariamente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, burocraticamente, chi sia intenzionato a riscoprire la sapienza dell’” homo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faber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 “ dei secoli scorsi e garantendo anche adeguati sbocchi alle produzioni locali, privilegiandole nei rapporti turistici, negli scambi culturali </w:t>
      </w:r>
      <w:proofErr w:type="spellStart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ecc</w:t>
      </w:r>
      <w:proofErr w:type="spellEnd"/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…. Bello sarebbe ricostruire, con il concorso degli artigiani locali, la Zecca che nei secoli passati batteva moneta a Gubbio e che rappresenta, nella sua storia unica, per una Città delle dimensioni della nostra, un vanto storico e culturale non adeguatamente evidenziato, anzi quasi sottaciuto .</w:t>
      </w:r>
    </w:p>
    <w:p w:rsidR="00D462DC" w:rsidRPr="00D462DC" w:rsidRDefault="00D462DC" w:rsidP="00D462D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</w:pPr>
      <w:r w:rsidRPr="00D462DC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it-IT"/>
        </w:rPr>
        <w:t>Valorizzazione della Gola del Bottaccione </w:t>
      </w:r>
      <w:r w:rsidRPr="00D462DC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. La Gola del Bottaccione rappresenta un tesoro a cielo aperto ancora in larga parte intonsa, non toccata e nemmeno sfiorata da progetti di valorizzazione adeguati . Il Comune si deve impegnare alla definizione di un progetto legato alla presenza dei dinosauri , con una sorta di Parco naturale e paleontologico , con una maggior cura e manutenzione dei corsi d’acqua e delle pertinenze, fino a investimenti adeguati che concorrano alla buona manutenzione del Condotto, testimonianza storica dell’ingegno eugubino attualmente in stato di degrado salvo periodici “ rattoppamenti “ .</w:t>
      </w:r>
    </w:p>
    <w:p w:rsidR="002354DE" w:rsidRDefault="00D462DC"/>
    <w:sectPr w:rsidR="00235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DC"/>
    <w:rsid w:val="00104FD9"/>
    <w:rsid w:val="00A80338"/>
    <w:rsid w:val="00D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46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46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2D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462D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462D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4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462DC"/>
    <w:rPr>
      <w:b/>
      <w:bCs/>
    </w:rPr>
  </w:style>
  <w:style w:type="character" w:customStyle="1" w:styleId="apple-converted-space">
    <w:name w:val="apple-converted-space"/>
    <w:basedOn w:val="Carpredefinitoparagrafo"/>
    <w:rsid w:val="00D462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46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46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2D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462D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462D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4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462DC"/>
    <w:rPr>
      <w:b/>
      <w:bCs/>
    </w:rPr>
  </w:style>
  <w:style w:type="character" w:customStyle="1" w:styleId="apple-converted-space">
    <w:name w:val="apple-converted-space"/>
    <w:basedOn w:val="Carpredefinitoparagrafo"/>
    <w:rsid w:val="00D462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5156">
              <w:marLeft w:val="0"/>
              <w:marRight w:val="165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vegubbio.it/categ/Polit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Pelolargo</dc:creator>
  <cp:lastModifiedBy>Pelolargo</cp:lastModifiedBy>
  <cp:revision>1</cp:revision>
  <dcterms:created xsi:type="dcterms:W3CDTF">2014-04-14T23:25:00Z</dcterms:created>
  <dcterms:modified xsi:type="dcterms:W3CDTF">2014-04-14T23:26:00Z</dcterms:modified>
</cp:coreProperties>
</file>